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suppressAutoHyphens w:val="false"/>
        <w:spacing w:before="0" w:after="120"/>
        <w:rPr>
          <w:rFonts w:eastAsia="Times New Roman"/>
          <w:lang w:val="ro-RO"/>
        </w:rPr>
      </w:pPr>
      <w:r>
        <w:rPr>
          <w:rFonts w:eastAsia="Times New Roman"/>
          <w:lang w:val="ro-RO"/>
        </w:rPr>
      </w:r>
    </w:p>
    <w:p>
      <w:pPr>
        <w:pStyle w:val="Normal"/>
        <w:widowControl/>
        <w:suppressAutoHyphens w:val="false"/>
        <w:jc w:val="center"/>
        <w:rPr>
          <w:rFonts w:eastAsia="Times New Roman"/>
          <w:b/>
          <w:b/>
          <w:lang w:val="ro-RO"/>
        </w:rPr>
      </w:pPr>
      <w:r>
        <w:rPr>
          <w:rFonts w:eastAsia="Times New Roman"/>
          <w:b/>
          <w:lang w:val="ro-RO"/>
        </w:rPr>
        <w:t xml:space="preserve">CONDIȚIILE DE CONCURS ȘI ACTELE NECESARE PARTICIPĂRII LA CONCURSUL PENTRU OCUPAREA A 2 POSTURI DE MUNCITOR CALIFICAT ÎN CADRUL DEPARTAMENTULUI FIZICĂ NUCELARĂ </w:t>
      </w:r>
    </w:p>
    <w:p>
      <w:pPr>
        <w:pStyle w:val="Normal"/>
        <w:widowControl/>
        <w:suppressAutoHyphens w:val="false"/>
        <w:jc w:val="center"/>
        <w:rPr>
          <w:rFonts w:eastAsia="Times New Roman"/>
          <w:b/>
          <w:b/>
          <w:lang w:val="ro-RO"/>
        </w:rPr>
      </w:pPr>
      <w:r>
        <w:rPr>
          <w:rFonts w:eastAsia="Times New Roman"/>
          <w:b/>
          <w:lang w:val="ro-RO"/>
        </w:rPr>
      </w:r>
    </w:p>
    <w:p>
      <w:pPr>
        <w:pStyle w:val="ListParagraph"/>
        <w:numPr>
          <w:ilvl w:val="0"/>
          <w:numId w:val="1"/>
        </w:numPr>
        <w:spacing w:before="0" w:after="120"/>
        <w:ind w:left="1077" w:hanging="720"/>
        <w:jc w:val="both"/>
        <w:rPr>
          <w:b/>
          <w:b/>
          <w:i/>
          <w:i/>
          <w:lang w:val="ro-RO"/>
        </w:rPr>
      </w:pPr>
      <w:r>
        <w:rPr>
          <w:b/>
          <w:i/>
          <w:lang w:val="ro-RO"/>
        </w:rPr>
        <w:t>CONDIŢII DE ÎNSCRIERE</w:t>
      </w:r>
    </w:p>
    <w:p>
      <w:pPr>
        <w:pStyle w:val="Normal"/>
        <w:spacing w:lineRule="auto" w:line="276"/>
        <w:ind w:firstLine="709"/>
        <w:jc w:val="both"/>
        <w:rPr>
          <w:b/>
          <w:b/>
        </w:rPr>
      </w:pPr>
      <w:r>
        <w:rPr/>
        <w:t xml:space="preserve">     </w:t>
      </w:r>
      <w:r>
        <w:rPr>
          <w:b/>
        </w:rPr>
        <w:t>Pregatire profesională:</w:t>
      </w:r>
    </w:p>
    <w:p>
      <w:pPr>
        <w:pStyle w:val="ListParagraph"/>
        <w:widowControl/>
        <w:numPr>
          <w:ilvl w:val="0"/>
          <w:numId w:val="4"/>
        </w:numPr>
        <w:suppressAutoHyphens w:val="false"/>
        <w:spacing w:lineRule="auto" w:line="276"/>
        <w:jc w:val="both"/>
        <w:rPr/>
      </w:pPr>
      <w:r>
        <w:rPr/>
        <w:t>Absolvent studii medii tehnice sau școală profesională şi curs de pregătire profesională sau specializare.</w:t>
      </w:r>
    </w:p>
    <w:p>
      <w:pPr>
        <w:pStyle w:val="Normal"/>
        <w:spacing w:before="0" w:after="0"/>
        <w:ind w:left="1080" w:hanging="0"/>
        <w:contextualSpacing/>
        <w:jc w:val="both"/>
        <w:rPr>
          <w:lang w:val="it-IT"/>
        </w:rPr>
      </w:pPr>
      <w:r>
        <w:rPr>
          <w:lang w:val="it-IT"/>
        </w:rPr>
      </w:r>
    </w:p>
    <w:p>
      <w:pPr>
        <w:pStyle w:val="Normal"/>
        <w:numPr>
          <w:ilvl w:val="0"/>
          <w:numId w:val="3"/>
        </w:numPr>
        <w:spacing w:before="0" w:after="0"/>
        <w:contextualSpacing/>
        <w:jc w:val="both"/>
        <w:rPr>
          <w:b/>
          <w:b/>
          <w:lang w:val="it-IT"/>
        </w:rPr>
      </w:pPr>
      <w:r>
        <w:rPr>
          <w:b/>
          <w:lang w:val="it-IT"/>
        </w:rPr>
        <w:t>Experienţă profesională:</w:t>
      </w:r>
    </w:p>
    <w:p>
      <w:pPr>
        <w:pStyle w:val="ListParagraph"/>
        <w:widowControl/>
        <w:numPr>
          <w:ilvl w:val="0"/>
          <w:numId w:val="4"/>
        </w:numPr>
        <w:suppressAutoHyphens w:val="false"/>
        <w:jc w:val="both"/>
        <w:rPr/>
      </w:pPr>
      <w:r>
        <w:rPr/>
        <w:t>Minim 2 ani.</w:t>
      </w:r>
    </w:p>
    <w:p>
      <w:pPr>
        <w:pStyle w:val="ListParagraph"/>
        <w:widowControl/>
        <w:suppressAutoHyphens w:val="false"/>
        <w:ind w:left="994" w:hanging="0"/>
        <w:jc w:val="both"/>
        <w:rPr/>
      </w:pPr>
      <w:r>
        <w:rPr/>
      </w:r>
    </w:p>
    <w:p>
      <w:pPr>
        <w:pStyle w:val="ListParagraph"/>
        <w:numPr>
          <w:ilvl w:val="0"/>
          <w:numId w:val="1"/>
        </w:numPr>
        <w:spacing w:before="0" w:after="120"/>
        <w:rPr>
          <w:b/>
          <w:b/>
          <w:i/>
          <w:i/>
          <w:lang w:val="ro-RO"/>
        </w:rPr>
      </w:pPr>
      <w:r>
        <w:rPr>
          <w:b/>
          <w:i/>
          <w:lang w:val="ro-RO"/>
        </w:rPr>
        <w:t>ACTE NECESARE PARTICIPĂRII LA CONCURS</w:t>
      </w:r>
    </w:p>
    <w:p>
      <w:pPr>
        <w:pStyle w:val="Normal"/>
        <w:widowControl/>
        <w:numPr>
          <w:ilvl w:val="0"/>
          <w:numId w:val="2"/>
        </w:numPr>
        <w:suppressAutoHyphens w:val="false"/>
        <w:ind w:left="806" w:hanging="360"/>
        <w:jc w:val="both"/>
        <w:rPr>
          <w:bCs/>
          <w:lang w:val="ro-RO"/>
        </w:rPr>
      </w:pPr>
      <w:r>
        <w:rPr>
          <w:bCs/>
          <w:lang w:val="ro-RO"/>
        </w:rPr>
        <w:t>Cerere de participare la concurs adresată Directorului General;</w:t>
      </w:r>
    </w:p>
    <w:p>
      <w:pPr>
        <w:pStyle w:val="Normal"/>
        <w:widowControl/>
        <w:numPr>
          <w:ilvl w:val="0"/>
          <w:numId w:val="2"/>
        </w:numPr>
        <w:suppressAutoHyphens w:val="false"/>
        <w:ind w:left="806" w:hanging="360"/>
        <w:jc w:val="both"/>
        <w:rPr>
          <w:bCs/>
          <w:lang w:val="ro-RO"/>
        </w:rPr>
      </w:pPr>
      <w:r>
        <w:rPr>
          <w:bCs/>
          <w:lang w:val="ro-RO"/>
        </w:rPr>
        <w:t>Copie a actului de identitate sau orice alt document care atestă identitatea;</w:t>
      </w:r>
    </w:p>
    <w:p>
      <w:pPr>
        <w:pStyle w:val="Normal"/>
        <w:widowControl/>
        <w:numPr>
          <w:ilvl w:val="0"/>
          <w:numId w:val="2"/>
        </w:numPr>
        <w:suppressAutoHyphens w:val="false"/>
        <w:ind w:left="806" w:hanging="360"/>
        <w:jc w:val="both"/>
        <w:rPr>
          <w:bCs/>
          <w:lang w:val="ro-RO"/>
        </w:rPr>
      </w:pPr>
      <w:r>
        <w:rPr>
          <w:bCs/>
          <w:lang w:val="ro-RO"/>
        </w:rPr>
        <w:t xml:space="preserve">Copii legalizate ale documentelor care să ateste studiile absolvite și ale altor acte care atestă efectuarea unor specializări/perfecționări;  </w:t>
      </w:r>
    </w:p>
    <w:p>
      <w:pPr>
        <w:pStyle w:val="Normal"/>
        <w:widowControl/>
        <w:numPr>
          <w:ilvl w:val="0"/>
          <w:numId w:val="2"/>
        </w:numPr>
        <w:suppressAutoHyphens w:val="false"/>
        <w:ind w:left="806" w:hanging="360"/>
        <w:jc w:val="both"/>
        <w:rPr>
          <w:bCs/>
          <w:lang w:val="ro-RO"/>
        </w:rPr>
      </w:pPr>
      <w:r>
        <w:rPr>
          <w:bCs/>
          <w:lang w:val="ro-RO"/>
        </w:rPr>
        <w:t>Copie legalizată a Carnetului de muncă, sau, după caz, o adeverință care să ateste vechimea în muncă, în meserie și/sau în specialitatea studiilor;</w:t>
      </w:r>
    </w:p>
    <w:p>
      <w:pPr>
        <w:pStyle w:val="Normal"/>
        <w:widowControl/>
        <w:numPr>
          <w:ilvl w:val="0"/>
          <w:numId w:val="2"/>
        </w:numPr>
        <w:suppressAutoHyphens w:val="false"/>
        <w:ind w:left="806" w:hanging="360"/>
        <w:jc w:val="both"/>
        <w:rPr>
          <w:bCs/>
          <w:lang w:val="ro-RO"/>
        </w:rPr>
      </w:pPr>
      <w:r>
        <w:rPr>
          <w:bCs/>
          <w:lang w:val="ro-RO"/>
        </w:rPr>
        <w:t>Curriculum Vitae;</w:t>
      </w:r>
    </w:p>
    <w:p>
      <w:pPr>
        <w:pStyle w:val="Normal"/>
        <w:widowControl/>
        <w:numPr>
          <w:ilvl w:val="0"/>
          <w:numId w:val="2"/>
        </w:numPr>
        <w:suppressAutoHyphens w:val="false"/>
        <w:ind w:left="806" w:hanging="360"/>
        <w:jc w:val="both"/>
        <w:rPr>
          <w:bCs/>
          <w:lang w:val="ro-RO"/>
        </w:rPr>
      </w:pPr>
      <w:r>
        <w:rPr>
          <w:bCs/>
          <w:lang w:val="ro-RO"/>
        </w:rPr>
        <w:t>Copie legalizată a certificatului de naștere;</w:t>
      </w:r>
    </w:p>
    <w:p>
      <w:pPr>
        <w:pStyle w:val="Normal"/>
        <w:widowControl/>
        <w:numPr>
          <w:ilvl w:val="0"/>
          <w:numId w:val="2"/>
        </w:numPr>
        <w:suppressAutoHyphens w:val="false"/>
        <w:ind w:left="806" w:hanging="360"/>
        <w:jc w:val="both"/>
        <w:rPr>
          <w:bCs/>
          <w:lang w:val="ro-RO"/>
        </w:rPr>
      </w:pPr>
      <w:r>
        <w:rPr>
          <w:bCs/>
          <w:lang w:val="ro-RO"/>
        </w:rPr>
        <w:t>Copie legalizată a certificatului de căsătorie (dacă este cazul);</w:t>
      </w:r>
    </w:p>
    <w:p>
      <w:pPr>
        <w:pStyle w:val="Normal"/>
        <w:widowControl/>
        <w:numPr>
          <w:ilvl w:val="0"/>
          <w:numId w:val="2"/>
        </w:numPr>
        <w:suppressAutoHyphens w:val="false"/>
        <w:ind w:left="806" w:hanging="360"/>
        <w:jc w:val="both"/>
        <w:rPr>
          <w:bCs/>
          <w:lang w:val="ro-RO"/>
        </w:rPr>
      </w:pPr>
      <w:r>
        <w:rPr>
          <w:bCs/>
          <w:lang w:val="ro-RO"/>
        </w:rPr>
        <w:t>Adeverință medicală care să ateste starea de sănătate, eliberată cu cel mult 6 luni anterior derulării concursului de către medicul de familie al candidatului sau de către unitățile sanitare abilitate;</w:t>
      </w:r>
    </w:p>
    <w:p>
      <w:pPr>
        <w:pStyle w:val="Normal"/>
        <w:widowControl/>
        <w:numPr>
          <w:ilvl w:val="0"/>
          <w:numId w:val="2"/>
        </w:numPr>
        <w:suppressAutoHyphens w:val="false"/>
        <w:ind w:left="806" w:hanging="360"/>
        <w:jc w:val="both"/>
        <w:rPr>
          <w:bCs/>
          <w:lang w:val="ro-RO"/>
        </w:rPr>
      </w:pPr>
      <w:r>
        <w:rPr>
          <w:bCs/>
          <w:lang w:val="ro-RO"/>
        </w:rPr>
        <w:t>Cazier judiciar.</w:t>
      </w:r>
    </w:p>
    <w:p>
      <w:pPr>
        <w:pStyle w:val="Normal"/>
        <w:widowControl/>
        <w:suppressAutoHyphens w:val="false"/>
        <w:ind w:firstLine="360"/>
        <w:jc w:val="both"/>
        <w:rPr>
          <w:rFonts w:eastAsia="Times New Roman"/>
          <w:lang w:val="pt-BR"/>
        </w:rPr>
      </w:pPr>
      <w:r>
        <w:rPr>
          <w:rFonts w:eastAsia="Times New Roman"/>
          <w:lang w:val="pt-BR"/>
        </w:rPr>
        <w:t>Concursul se va desfăşura conform Regulamentului de concurs/promovare pentru ocuparea posturilor din cadrul IFIN-HH, altele decât cele de cercetare-dezvoltare, aprobat de Consiliul de Administraţie.</w:t>
      </w:r>
    </w:p>
    <w:p>
      <w:pPr>
        <w:pStyle w:val="Normal"/>
        <w:jc w:val="both"/>
        <w:rPr>
          <w:rFonts w:eastAsia="Times New Roman"/>
          <w:lang w:val="ro-RO"/>
        </w:rPr>
      </w:pPr>
      <w:r>
        <w:rPr>
          <w:rFonts w:eastAsia="Times New Roman"/>
          <w:lang w:val="ro-RO"/>
        </w:rPr>
        <w:t xml:space="preserve">       </w:t>
      </w:r>
      <w:r>
        <w:rPr>
          <w:rFonts w:eastAsia="Times New Roman"/>
          <w:lang w:val="ro-RO"/>
        </w:rPr>
        <w:t xml:space="preserve">Dosarele se depun la Biroul Resurse Umane până la data de </w:t>
      </w:r>
      <w:r>
        <w:rPr>
          <w:rFonts w:eastAsia="Times New Roman"/>
          <w:lang w:val="ro-RO"/>
        </w:rPr>
        <w:t>23</w:t>
      </w:r>
      <w:r>
        <w:rPr>
          <w:rFonts w:eastAsia="Times New Roman"/>
          <w:lang w:val="ro-RO"/>
        </w:rPr>
        <w:t>.</w:t>
      </w:r>
      <w:r>
        <w:rPr>
          <w:rFonts w:eastAsia="Times New Roman"/>
          <w:color w:val="000000" w:themeColor="text1"/>
          <w:lang w:val="ro-RO"/>
        </w:rPr>
        <w:t>01.2025</w:t>
      </w:r>
      <w:r>
        <w:rPr>
          <w:rFonts w:eastAsia="Times New Roman"/>
          <w:lang w:val="ro-RO"/>
        </w:rPr>
        <w:t>.</w:t>
      </w:r>
    </w:p>
    <w:p>
      <w:pPr>
        <w:pStyle w:val="Normal"/>
        <w:widowControl/>
        <w:suppressAutoHyphens w:val="false"/>
        <w:jc w:val="both"/>
        <w:rPr>
          <w:rFonts w:eastAsia="Times New Roman"/>
          <w:lang w:val="ro-RO"/>
        </w:rPr>
      </w:pPr>
      <w:r>
        <w:rPr>
          <w:rFonts w:eastAsia="Times New Roman"/>
          <w:lang w:val="ro-RO"/>
        </w:rPr>
        <w:t xml:space="preserve">       </w:t>
      </w:r>
      <w:r>
        <w:rPr>
          <w:rFonts w:eastAsia="Times New Roman"/>
          <w:lang w:val="ro-RO"/>
        </w:rPr>
        <w:t>Data susținerii concursului se va afișa la sediul IFIN-HH din Str. Reactorului nr. 30, Oraș Măgurele, Județul Ilfov.</w:t>
      </w:r>
    </w:p>
    <w:p>
      <w:pPr>
        <w:pStyle w:val="Normal"/>
        <w:widowControl/>
        <w:suppressAutoHyphens w:val="false"/>
        <w:jc w:val="both"/>
        <w:rPr>
          <w:rFonts w:eastAsia="Times New Roman"/>
          <w:lang w:val="ro-RO"/>
        </w:rPr>
      </w:pPr>
      <w:r>
        <w:rPr>
          <w:rFonts w:eastAsia="Times New Roman"/>
          <w:lang w:val="ro-RO"/>
        </w:rPr>
      </w:r>
    </w:p>
    <w:p>
      <w:pPr>
        <w:pStyle w:val="Normal"/>
        <w:spacing w:lineRule="auto" w:line="276"/>
        <w:ind w:left="360" w:hanging="0"/>
        <w:jc w:val="both"/>
        <w:rPr>
          <w:b/>
          <w:b/>
          <w:lang w:val="fr-FR"/>
        </w:rPr>
      </w:pPr>
      <w:r>
        <w:rPr>
          <w:b/>
        </w:rPr>
        <w:t>Bibliogra</w:t>
      </w:r>
      <w:r>
        <w:rPr>
          <w:b/>
          <w:lang w:val="fr-FR"/>
        </w:rPr>
        <w:t>fie:</w:t>
      </w:r>
    </w:p>
    <w:p>
      <w:pPr>
        <w:pStyle w:val="Normal"/>
        <w:widowControl/>
        <w:suppressAutoHyphens w:val="false"/>
        <w:spacing w:lineRule="auto" w:line="276"/>
        <w:jc w:val="both"/>
        <w:rPr>
          <w:bCs/>
          <w:lang w:val="fr-FR"/>
        </w:rPr>
      </w:pPr>
      <w:r>
        <w:rPr>
          <w:bCs/>
          <w:lang w:val="fr-FR"/>
        </w:rPr>
        <w:t xml:space="preserve">1. </w:t>
      </w:r>
      <w:r>
        <w:rPr>
          <w:bCs/>
          <w:color w:val="000000" w:themeColor="text1"/>
          <w:lang w:val="fr-FR"/>
        </w:rPr>
        <w:t xml:space="preserve">H.G. nr. 1367/2010 pentru modificarea Hotărârii Guvernului nr. 1.309/1996 privind înfiintarea Institutului Naţional de Cercetare-Dezvoltare pentru Fizică şi Inginerie Nucleară “Horia Hulubei” – IFIN-HH Bucureşti şi a Hotărârii Guvernului nr. 965/2005 </w:t>
      </w:r>
      <w:r>
        <w:rPr>
          <w:bCs/>
          <w:lang w:val="fr-FR"/>
        </w:rPr>
        <w:t>pentru aprobarea Regulamentului de organizare şi funcţionare a Institutului Naţional de Cercetare-Dezvoltare pentru Fizică şi Inginerie Nucleară “Horia Hulubei” – IFIN-HH Bucureşti ;</w:t>
      </w:r>
    </w:p>
    <w:p>
      <w:pPr>
        <w:pStyle w:val="Normal"/>
        <w:widowControl/>
        <w:suppressAutoHyphens w:val="false"/>
        <w:spacing w:lineRule="auto" w:line="276"/>
        <w:jc w:val="both"/>
        <w:rPr>
          <w:bCs/>
          <w:lang w:val="fr-FR"/>
        </w:rPr>
      </w:pPr>
      <w:r>
        <w:rPr>
          <w:bCs/>
          <w:lang w:val="fr-FR"/>
        </w:rPr>
        <w:t>2. Acceleratoare de particule încărcate de I. E. Teodorescu, editura Academiei Republicii Socialiste România, Bucureşti, 1967:</w:t>
      </w:r>
    </w:p>
    <w:p>
      <w:pPr>
        <w:pStyle w:val="Normal"/>
        <w:widowControl/>
        <w:suppressAutoHyphens w:val="false"/>
        <w:spacing w:lineRule="auto" w:line="276"/>
        <w:jc w:val="both"/>
        <w:rPr>
          <w:bCs/>
          <w:lang w:val="fr-FR"/>
        </w:rPr>
      </w:pPr>
      <w:r>
        <w:rPr>
          <w:bCs/>
          <w:lang w:val="fr-FR"/>
        </w:rPr>
        <w:t>- Formarea fasciculelor de particule încărcate;</w:t>
      </w:r>
    </w:p>
    <w:p>
      <w:pPr>
        <w:pStyle w:val="Normal"/>
        <w:widowControl/>
        <w:suppressAutoHyphens w:val="false"/>
        <w:spacing w:lineRule="auto" w:line="276"/>
        <w:jc w:val="both"/>
        <w:rPr>
          <w:bCs/>
          <w:lang w:val="fr-FR"/>
        </w:rPr>
      </w:pPr>
      <w:r>
        <w:rPr>
          <w:bCs/>
          <w:lang w:val="fr-FR"/>
        </w:rPr>
        <w:t>- Surse de particule încărcate;</w:t>
      </w:r>
    </w:p>
    <w:p>
      <w:pPr>
        <w:pStyle w:val="Normal"/>
        <w:widowControl/>
        <w:suppressAutoHyphens w:val="false"/>
        <w:spacing w:lineRule="auto" w:line="276"/>
        <w:jc w:val="both"/>
        <w:rPr>
          <w:bCs/>
          <w:lang w:val="fr-FR"/>
        </w:rPr>
      </w:pPr>
      <w:r>
        <w:rPr>
          <w:bCs/>
          <w:lang w:val="fr-FR"/>
        </w:rPr>
        <w:t>- Accelerarea particulelor într-un accelerator de tip Van de Graaff.</w:t>
      </w:r>
    </w:p>
    <w:p>
      <w:pPr>
        <w:pStyle w:val="Normal"/>
        <w:widowControl/>
        <w:suppressAutoHyphens w:val="false"/>
        <w:spacing w:lineRule="auto" w:line="276"/>
        <w:jc w:val="both"/>
        <w:rPr/>
      </w:pPr>
      <w:r>
        <w:rPr>
          <w:bCs/>
          <w:lang w:val="fr-FR"/>
        </w:rPr>
        <w:t>3. Teză de Doctorat « MODERNIZǍRI ŞI DEZVOLTǍRI METODICE LA ACCELERATORUL ELECTROSTATIC DE TIP TANDEM VAN DE GRAAFF AL IFIN-HH », autor MOŞU Daniel Vasile, Conducător de doctorat Prof. Univ. Dr. Gheorghe CǍTA-DANIL (</w:t>
      </w:r>
      <w:hyperlink r:id="rId2">
        <w:r>
          <w:rPr>
            <w:rStyle w:val="InternetLink"/>
            <w:bCs/>
            <w:lang w:val="fr-FR"/>
          </w:rPr>
          <w:t>file:///C:/Users/danie/Downloads/TEZA-REZUMAT-MOSU-FINAL.pdf</w:t>
        </w:r>
      </w:hyperlink>
      <w:r>
        <w:rPr>
          <w:bCs/>
          <w:lang w:val="fr-FR"/>
        </w:rPr>
        <w:t>):</w:t>
      </w:r>
    </w:p>
    <w:p>
      <w:pPr>
        <w:pStyle w:val="Normal"/>
        <w:widowControl/>
        <w:suppressAutoHyphens w:val="false"/>
        <w:spacing w:lineRule="auto" w:line="276"/>
        <w:jc w:val="both"/>
        <w:rPr>
          <w:bCs/>
          <w:lang w:val="fr-FR"/>
        </w:rPr>
      </w:pPr>
      <w:r>
        <w:rPr>
          <w:bCs/>
          <w:lang w:val="fr-FR"/>
        </w:rPr>
        <w:t>- Surse de particule încărcate de tip duoplasmatron şi cu împrăştiere catodică utilizate la acceleratorul tandem Van de Graaff 9 MV;</w:t>
      </w:r>
    </w:p>
    <w:p>
      <w:pPr>
        <w:pStyle w:val="Normal"/>
        <w:widowControl/>
        <w:suppressAutoHyphens w:val="false"/>
        <w:spacing w:lineRule="auto" w:line="276"/>
        <w:jc w:val="both"/>
        <w:rPr>
          <w:bCs/>
          <w:lang w:val="fr-FR"/>
        </w:rPr>
      </w:pPr>
      <w:r>
        <w:rPr>
          <w:bCs/>
          <w:lang w:val="fr-FR"/>
        </w:rPr>
        <w:t>- Optimizarea fasciculului din punct de vedere al electronicii specifice acceleratorului tandem Van de Graaff 9 MV IFIN-HH.</w:t>
      </w:r>
    </w:p>
    <w:p>
      <w:pPr>
        <w:pStyle w:val="Normal"/>
        <w:widowControl/>
        <w:suppressAutoHyphens w:val="false"/>
        <w:spacing w:lineRule="auto" w:line="276"/>
        <w:jc w:val="both"/>
        <w:rPr>
          <w:bCs/>
          <w:lang w:val="fr-FR"/>
        </w:rPr>
      </w:pPr>
      <w:r>
        <w:rPr>
          <w:bCs/>
          <w:lang w:val="fr-FR"/>
        </w:rPr>
      </w:r>
    </w:p>
    <w:p>
      <w:pPr>
        <w:pStyle w:val="Normal"/>
        <w:widowControl/>
        <w:suppressAutoHyphens w:val="false"/>
        <w:spacing w:lineRule="auto" w:line="276"/>
        <w:jc w:val="both"/>
        <w:rPr>
          <w:bCs/>
          <w:lang w:val="fr-FR"/>
        </w:rPr>
      </w:pPr>
      <w:r>
        <w:rPr>
          <w:bCs/>
          <w:lang w:val="fr-FR"/>
        </w:rPr>
      </w:r>
    </w:p>
    <w:p>
      <w:pPr>
        <w:pStyle w:val="Normal"/>
        <w:widowControl/>
        <w:suppressAutoHyphens w:val="false"/>
        <w:spacing w:lineRule="auto" w:line="276"/>
        <w:jc w:val="both"/>
        <w:rPr>
          <w:bCs/>
          <w:lang w:val="fr-FR"/>
        </w:rPr>
      </w:pPr>
      <w:r>
        <w:rPr>
          <w:bCs/>
          <w:lang w:val="fr-FR"/>
        </w:rPr>
      </w:r>
    </w:p>
    <w:p>
      <w:pPr>
        <w:pStyle w:val="Normal"/>
        <w:widowControl/>
        <w:suppressAutoHyphens w:val="false"/>
        <w:spacing w:lineRule="auto" w:line="276"/>
        <w:jc w:val="both"/>
        <w:rPr>
          <w:bCs/>
          <w:lang w:val="fr-FR"/>
        </w:rPr>
      </w:pPr>
      <w:r>
        <w:rPr>
          <w:bCs/>
          <w:lang w:val="fr-FR"/>
        </w:rPr>
        <w:t>4. Manual sursă cu împră</w:t>
      </w:r>
      <w:r>
        <w:rPr>
          <w:bCs/>
          <w:lang w:val="fr-FR"/>
        </w:rPr>
      </w:r>
      <m:oMath xmlns:m="http://schemas.openxmlformats.org/officeDocument/2006/math">
        <m:r>
          <w:rPr>
            <w:rFonts w:ascii="Cambria Math" w:hAnsi="Cambria Math"/>
          </w:rPr>
          <m:t xml:space="preserve">ş</m:t>
        </m:r>
      </m:oMath>
      <w:r>
        <w:rPr>
          <w:bCs/>
          <w:lang w:val="fr-FR"/>
        </w:rPr>
        <w:t>tiere catodică (sputtering);</w:t>
      </w:r>
    </w:p>
    <w:p>
      <w:pPr>
        <w:pStyle w:val="Normal"/>
        <w:widowControl/>
        <w:suppressAutoHyphens w:val="false"/>
        <w:spacing w:lineRule="auto" w:line="276"/>
        <w:jc w:val="both"/>
        <w:rPr>
          <w:bCs/>
          <w:lang w:val="fr-FR"/>
        </w:rPr>
      </w:pPr>
      <w:r>
        <w:rPr>
          <w:bCs/>
          <w:lang w:val="fr-FR"/>
        </w:rPr>
        <w:t>5. Manual Generator de înaltă tensiune de accelerare, de tip PELLETRON;</w:t>
      </w:r>
    </w:p>
    <w:p>
      <w:pPr>
        <w:pStyle w:val="Normal"/>
        <w:widowControl/>
        <w:suppressAutoHyphens w:val="false"/>
        <w:spacing w:lineRule="auto" w:line="276"/>
        <w:jc w:val="both"/>
        <w:rPr/>
      </w:pPr>
      <w:r>
        <w:rPr>
          <w:bCs/>
          <w:lang w:val="fr-FR"/>
        </w:rPr>
        <w:t xml:space="preserve">6. Legea 319 din 2006 actualizată – Legea privind securitatea şi sănătatea în muncă. </w:t>
      </w:r>
    </w:p>
    <w:sectPr>
      <w:type w:val="nextPage"/>
      <w:pgSz w:w="12240" w:h="15840"/>
      <w:pgMar w:left="1440" w:right="616" w:header="0" w:top="0" w:footer="0" w:bottom="180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upperRoman"/>
      <w:lvlText w:val="%1."/>
      <w:lvlJc w:val="left"/>
      <w:pPr>
        <w:ind w:left="117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lvl w:ilvl="0">
      <w:start w:val="1"/>
      <w:numFmt w:val="decimal"/>
      <w:lvlText w:val="%1."/>
      <w:lvlJc w:val="left"/>
      <w:pPr>
        <w:ind w:left="990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  <w:rPr>
        <w:rFonts w:eastAsia="Lucida Sans Unicode"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lvl w:ilvl="0">
      <w:start w:val="2"/>
      <w:numFmt w:val="bullet"/>
      <w:lvlText w:val="-"/>
      <w:lvlJc w:val="left"/>
      <w:pPr>
        <w:ind w:left="1350" w:hanging="360"/>
      </w:pPr>
      <w:rPr>
        <w:rFonts w:ascii="Times New Roman" w:hAnsi="Times New Roman" w:cs="Times New Roman" w:hint="default"/>
        <w:rFonts w:cs="Times New Roman"/>
      </w:rPr>
    </w:lvl>
    <w:lvl w:ilvl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79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1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95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7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11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64"/>
  <w:defaultTabStop w:val="720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70a56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Lucida Sans Unicode" w:cs="Times New Roman"/>
      <w:color w:val="auto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rial131" w:customStyle="1">
    <w:name w:val="arial_131"/>
    <w:basedOn w:val="DefaultParagraphFont"/>
    <w:qFormat/>
    <w:rsid w:val="00770a56"/>
    <w:rPr>
      <w:rFonts w:ascii="Arial" w:hAnsi="Arial" w:cs="Arial"/>
      <w:color w:val="000000"/>
      <w:sz w:val="20"/>
      <w:szCs w:val="20"/>
    </w:rPr>
  </w:style>
  <w:style w:type="character" w:styleId="Do1" w:customStyle="1">
    <w:name w:val="do1"/>
    <w:basedOn w:val="DefaultParagraphFont"/>
    <w:qFormat/>
    <w:rsid w:val="00992cca"/>
    <w:rPr>
      <w:b/>
      <w:bCs/>
      <w:sz w:val="26"/>
      <w:szCs w:val="2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0b1f8a"/>
    <w:rPr>
      <w:rFonts w:ascii="Segoe UI" w:hAnsi="Segoe UI" w:eastAsia="Lucida Sans Unicode" w:cs="Segoe UI"/>
      <w:sz w:val="18"/>
      <w:szCs w:val="18"/>
    </w:rPr>
  </w:style>
  <w:style w:type="character" w:styleId="InternetLink">
    <w:name w:val="Internet Link"/>
    <w:basedOn w:val="DefaultParagraphFont"/>
    <w:uiPriority w:val="99"/>
    <w:unhideWhenUsed/>
    <w:rsid w:val="009f1bf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b0099"/>
    <w:rPr>
      <w:color w:val="605E5C"/>
      <w:shd w:fill="E1DFDD" w:val="clear"/>
    </w:rPr>
  </w:style>
  <w:style w:type="character" w:styleId="PlaceholderText">
    <w:name w:val="Placeholder Text"/>
    <w:basedOn w:val="DefaultParagraphFont"/>
    <w:uiPriority w:val="99"/>
    <w:semiHidden/>
    <w:qFormat/>
    <w:rsid w:val="00e80a0e"/>
    <w:rPr>
      <w:color w:val="666666"/>
    </w:rPr>
  </w:style>
  <w:style w:type="character" w:styleId="ListLabel1">
    <w:name w:val="ListLabel 1"/>
    <w:qFormat/>
    <w:rPr>
      <w:rFonts w:eastAsia="Lucida Sans Unicode" w:cs="Times New Roman"/>
    </w:rPr>
  </w:style>
  <w:style w:type="character" w:styleId="ListLabel2">
    <w:name w:val="ListLabel 2"/>
    <w:qFormat/>
    <w:rPr>
      <w:rFonts w:eastAsia="Lucida Sans Unicode" w:cs="Times New Roman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b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b/>
    </w:rPr>
  </w:style>
  <w:style w:type="character" w:styleId="ListLabel11">
    <w:name w:val="ListLabel 11"/>
    <w:qFormat/>
    <w:rPr>
      <w:rFonts w:eastAsia="Lucida Sans Unicode" w:cs="Times New Roman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eastAsia="Calibri" w:cs="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eastAsia="Lucida Sans Unicode" w:cs="Times New Roman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"/>
      <w:sz w:val="22"/>
    </w:rPr>
  </w:style>
  <w:style w:type="character" w:styleId="ListLabel24">
    <w:name w:val="ListLabel 24"/>
    <w:qFormat/>
    <w:rPr>
      <w:rFonts w:cs="Times New Roman"/>
      <w:sz w:val="24"/>
      <w:szCs w:val="24"/>
    </w:rPr>
  </w:style>
  <w:style w:type="character" w:styleId="ListLabel25">
    <w:name w:val="ListLabel 25"/>
    <w:qFormat/>
    <w:rPr>
      <w:rFonts w:eastAsia="Times New Roman" w:cs="Times New Roman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eastAsia="Calibri" w:cs="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eastAsia="Lucida Sans Unicode" w:cs="Times New Roman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eastAsia="Times New Roman" w:cs="Times New Roman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eastAsia="Lucida Sans Unicode" w:cs="Times New Roman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Courier New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34"/>
    <w:qFormat/>
    <w:rsid w:val="00770a56"/>
    <w:pPr>
      <w:spacing w:before="0" w:after="0"/>
      <w:ind w:left="720" w:hanging="0"/>
      <w:contextualSpacing/>
    </w:pPr>
    <w:rPr/>
  </w:style>
  <w:style w:type="paragraph" w:styleId="NoSpacing">
    <w:name w:val="No Spacing"/>
    <w:uiPriority w:val="1"/>
    <w:qFormat/>
    <w:rsid w:val="00c0613b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4"/>
      <w:szCs w:val="22"/>
      <w:lang w:val="ro-RO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b1f8a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file:///C:/Users/danie/Downloads/TEZA-REZUMAT-MOSU-FINAL.pdf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33C02-1FD6-405C-90D3-93C5D24AE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LibreOffice/5.1.6.2$Linux_X86_64 LibreOffice_project/10m0$Build-2</Application>
  <Pages>2</Pages>
  <Words>424</Words>
  <Characters>2642</Characters>
  <CharactersWithSpaces>3047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2024-12-16T12:30:00Z</dcterms:created>
  <dc:creator>utilizator</dc:creator>
  <dc:description/>
  <dc:language>en-US</dc:language>
  <cp:lastModifiedBy/>
  <cp:lastPrinted>2022-01-19T06:59:00Z</cp:lastPrinted>
  <dcterms:modified xsi:type="dcterms:W3CDTF">2025-01-13T11:06:56Z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